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85" w:rsidRPr="007A47C8" w:rsidRDefault="005C1185" w:rsidP="005C1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7C8">
        <w:rPr>
          <w:rFonts w:ascii="Times New Roman" w:hAnsi="Times New Roman"/>
          <w:b/>
          <w:sz w:val="24"/>
          <w:szCs w:val="24"/>
        </w:rPr>
        <w:t xml:space="preserve">Аналитическая справка </w:t>
      </w:r>
    </w:p>
    <w:p w:rsidR="005C1185" w:rsidRPr="007A47C8" w:rsidRDefault="005C1185" w:rsidP="005C1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7C8">
        <w:rPr>
          <w:rFonts w:ascii="Times New Roman" w:hAnsi="Times New Roman"/>
          <w:b/>
          <w:sz w:val="24"/>
          <w:szCs w:val="24"/>
        </w:rPr>
        <w:t xml:space="preserve">о результатах диагностики достижения детьми планируемых результатов освоения основной общеобразовательной программы </w:t>
      </w:r>
    </w:p>
    <w:p w:rsidR="005C1185" w:rsidRPr="007A47C8" w:rsidRDefault="005C1185" w:rsidP="005C1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7C8">
        <w:rPr>
          <w:rFonts w:ascii="Times New Roman" w:hAnsi="Times New Roman"/>
          <w:b/>
          <w:sz w:val="24"/>
          <w:szCs w:val="24"/>
        </w:rPr>
        <w:t>в МАДОУ Кижингинский детский сад «Сэсэг»</w:t>
      </w:r>
    </w:p>
    <w:p w:rsidR="005C1185" w:rsidRPr="0066270F" w:rsidRDefault="007A47C8" w:rsidP="007A4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6270F">
        <w:rPr>
          <w:rFonts w:ascii="Times New Roman" w:hAnsi="Times New Roman"/>
          <w:b/>
          <w:sz w:val="24"/>
          <w:szCs w:val="24"/>
        </w:rPr>
        <w:t>на конец</w:t>
      </w:r>
      <w:proofErr w:type="gramEnd"/>
      <w:r w:rsidRPr="0066270F">
        <w:rPr>
          <w:rFonts w:ascii="Times New Roman" w:hAnsi="Times New Roman"/>
          <w:b/>
          <w:sz w:val="24"/>
          <w:szCs w:val="24"/>
        </w:rPr>
        <w:t xml:space="preserve"> 2018 – начало 2019</w:t>
      </w:r>
      <w:r w:rsidR="005C1185" w:rsidRPr="0066270F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5C1185" w:rsidRPr="007A47C8" w:rsidRDefault="005C1185" w:rsidP="005C1185">
      <w:pPr>
        <w:spacing w:after="0" w:line="259" w:lineRule="auto"/>
        <w:ind w:right="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1185" w:rsidRPr="007A47C8" w:rsidRDefault="0066270F" w:rsidP="0066270F">
      <w:pPr>
        <w:spacing w:after="31" w:line="259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-образовательный процесс в </w:t>
      </w:r>
      <w:r w:rsidR="005C1185" w:rsidRPr="007A47C8">
        <w:rPr>
          <w:rFonts w:ascii="Times New Roman" w:hAnsi="Times New Roman"/>
          <w:b/>
          <w:sz w:val="24"/>
          <w:szCs w:val="24"/>
        </w:rPr>
        <w:t xml:space="preserve">МАДОУ Кижингинский детский сад «Сэсэг» </w:t>
      </w:r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выстроен в соответствии с основной образовательной программой, с учетом примерной общеобразовательной программы дошкольного образ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ования «От рождения до школы», п</w:t>
      </w:r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 редакцией Н.Е. </w:t>
      </w:r>
      <w:proofErr w:type="spellStart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Вераксы</w:t>
      </w:r>
      <w:proofErr w:type="spellEnd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Т.С. Комаровой, М.А. Васильев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ой. </w:t>
      </w:r>
    </w:p>
    <w:p w:rsidR="005C1185" w:rsidRPr="007A47C8" w:rsidRDefault="0066270F" w:rsidP="0066270F">
      <w:pPr>
        <w:spacing w:after="56" w:line="259" w:lineRule="auto"/>
        <w:ind w:right="4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определения уровня развития детей мониторинг достижения детьми планируемых результатов освоения образовательной программы в 2017-2018 учебном году проводился дважды в год, с целью определения степени освоения детьми образовательной программы и влияния образовательного процесса, организуемого в дошкольном учреждении на развитие детей. Сроки проведения</w:t>
      </w:r>
      <w:r w:rsidR="005C1185" w:rsidRPr="0066270F">
        <w:rPr>
          <w:rFonts w:ascii="Times New Roman" w:eastAsia="Times New Roman" w:hAnsi="Times New Roman"/>
          <w:sz w:val="24"/>
          <w:szCs w:val="24"/>
          <w:lang w:eastAsia="ru-RU"/>
        </w:rPr>
        <w:t xml:space="preserve">: - с 22 по 26 сентября 2015 года; - с 25 по 29 апреля 2016 года.  </w:t>
      </w:r>
    </w:p>
    <w:p w:rsidR="005C1185" w:rsidRPr="007A47C8" w:rsidRDefault="0066270F" w:rsidP="0066270F">
      <w:pPr>
        <w:spacing w:after="56" w:line="259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годового плана МАДОУ, старшим воспитателем </w:t>
      </w:r>
      <w:proofErr w:type="spellStart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Цындежаповой</w:t>
      </w:r>
      <w:proofErr w:type="spellEnd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Г.Б., инструктором по физической культуре Михайловой С.С.., учителем по бурятскому языку </w:t>
      </w:r>
      <w:proofErr w:type="spellStart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Нимаевой</w:t>
      </w:r>
      <w:proofErr w:type="spellEnd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С.Д., музыкальным руководителем </w:t>
      </w:r>
      <w:proofErr w:type="spellStart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Тунжиновой</w:t>
      </w:r>
      <w:proofErr w:type="spellEnd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Ж.Н., </w:t>
      </w:r>
      <w:proofErr w:type="spellStart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психологм</w:t>
      </w:r>
      <w:proofErr w:type="spellEnd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Ермаковой З.П., учителем английского языка </w:t>
      </w:r>
      <w:proofErr w:type="spellStart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Токтоновой</w:t>
      </w:r>
      <w:proofErr w:type="spellEnd"/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С.А. и воспитателями осуществлялся мониторинг образовательного процесса по образовательным областям в соответствии с ФГОС. </w:t>
      </w:r>
      <w:proofErr w:type="gramEnd"/>
    </w:p>
    <w:p w:rsidR="005C1185" w:rsidRPr="007A47C8" w:rsidRDefault="0066270F" w:rsidP="0066270F">
      <w:pPr>
        <w:spacing w:after="56" w:line="259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Сбор информации основывался на использовании следующих методик </w:t>
      </w:r>
    </w:p>
    <w:p w:rsidR="005C1185" w:rsidRPr="007A47C8" w:rsidRDefault="0066270F" w:rsidP="0066270F">
      <w:pPr>
        <w:spacing w:after="56" w:line="259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систематические наблюдения, </w:t>
      </w:r>
    </w:p>
    <w:p w:rsidR="005C1185" w:rsidRPr="007A47C8" w:rsidRDefault="0066270F" w:rsidP="0066270F">
      <w:pPr>
        <w:spacing w:after="56" w:line="259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специальной игровой деятельности, </w:t>
      </w:r>
    </w:p>
    <w:p w:rsidR="005C1185" w:rsidRPr="007A47C8" w:rsidRDefault="0066270F" w:rsidP="0066270F">
      <w:pPr>
        <w:spacing w:after="56" w:line="259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получение ответов на поставленные задачи через педагогические ситуации, - анализ продуктов детской деятельности. </w:t>
      </w:r>
    </w:p>
    <w:p w:rsidR="005C1185" w:rsidRPr="007A47C8" w:rsidRDefault="0066270F" w:rsidP="0066270F">
      <w:pPr>
        <w:spacing w:after="14" w:line="259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Данные о результатах мониторинга отражались в специальной карте развития ребенка.  </w:t>
      </w:r>
    </w:p>
    <w:p w:rsidR="005C1185" w:rsidRPr="007A47C8" w:rsidRDefault="005C1185" w:rsidP="0066270F">
      <w:pPr>
        <w:spacing w:after="56" w:line="259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процессе мониторинга выделяются физические, интеллектуальные и личностные качества ребенка. Достижения детей оцениваются путем бесед, наблюдений, создания педагогических ситуаций, анализа работ продуктивной деятельности, организации игровой деятельности и специальных диагностических материалов. Данные о результатах мониторинга заносятся в таблицу. </w:t>
      </w:r>
    </w:p>
    <w:p w:rsidR="005C1185" w:rsidRPr="007A47C8" w:rsidRDefault="0066270F" w:rsidP="0066270F">
      <w:pPr>
        <w:spacing w:after="56" w:line="259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5C1185" w:rsidRPr="007A4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Мониторинг образовательного процесса, содержащий пять образовательных областей: «Речевое развитие», «Познавательное развитие», «Социально-коммуникативное развитие», «Художественно - эстетическое развитие», «Физическое развитие» позволил осуществить комплексный подход к оценке развития ребенка. </w:t>
      </w:r>
    </w:p>
    <w:p w:rsidR="005C1185" w:rsidRPr="007A47C8" w:rsidRDefault="005C1185" w:rsidP="005C1185">
      <w:pPr>
        <w:pStyle w:val="1"/>
        <w:shd w:val="clear" w:color="auto" w:fill="auto"/>
        <w:spacing w:before="0" w:line="276" w:lineRule="auto"/>
        <w:ind w:right="-59" w:firstLine="0"/>
        <w:rPr>
          <w:rFonts w:ascii="Times New Roman" w:hAnsi="Times New Roman" w:cs="Times New Roman"/>
          <w:b/>
          <w:sz w:val="24"/>
          <w:szCs w:val="24"/>
        </w:rPr>
      </w:pPr>
      <w:r w:rsidRPr="007A47C8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5C1185" w:rsidRPr="007A47C8" w:rsidRDefault="005C1185" w:rsidP="006627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  <w:lang w:val="tt-RU"/>
        </w:rPr>
        <w:t xml:space="preserve">Итоги </w:t>
      </w:r>
      <w:r w:rsidRPr="007A47C8">
        <w:rPr>
          <w:rFonts w:ascii="Times New Roman" w:hAnsi="Times New Roman"/>
          <w:b/>
          <w:sz w:val="24"/>
          <w:szCs w:val="24"/>
          <w:lang w:val="tt-RU"/>
        </w:rPr>
        <w:t xml:space="preserve">диагностики освоения </w:t>
      </w:r>
      <w:r w:rsidRPr="007A47C8">
        <w:rPr>
          <w:rFonts w:ascii="Times New Roman" w:hAnsi="Times New Roman"/>
          <w:b/>
          <w:sz w:val="24"/>
          <w:szCs w:val="24"/>
        </w:rPr>
        <w:t>программного материала</w:t>
      </w:r>
      <w:r w:rsidRPr="007A47C8">
        <w:rPr>
          <w:rFonts w:ascii="Times New Roman" w:hAnsi="Times New Roman"/>
          <w:sz w:val="24"/>
          <w:szCs w:val="24"/>
          <w:lang w:val="tt-RU"/>
        </w:rPr>
        <w:t xml:space="preserve"> на конец  учебного года п</w:t>
      </w:r>
      <w:r w:rsidRPr="007A47C8">
        <w:rPr>
          <w:rFonts w:ascii="Times New Roman" w:hAnsi="Times New Roman"/>
          <w:sz w:val="24"/>
          <w:szCs w:val="24"/>
        </w:rPr>
        <w:t>оказали, что детьми всех возрастных групп материал по всем образовательным областям усвоен на разном уровне (результаты представлены в таблицах).</w:t>
      </w:r>
    </w:p>
    <w:p w:rsidR="005C1185" w:rsidRPr="007A47C8" w:rsidRDefault="005C1185" w:rsidP="006627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 xml:space="preserve">Всего обследовано </w:t>
      </w:r>
      <w:r w:rsidR="007A47C8" w:rsidRPr="00E73408">
        <w:rPr>
          <w:rFonts w:ascii="Times New Roman" w:hAnsi="Times New Roman"/>
          <w:sz w:val="24"/>
          <w:szCs w:val="24"/>
        </w:rPr>
        <w:t>148</w:t>
      </w:r>
      <w:r w:rsidRPr="00E73408">
        <w:rPr>
          <w:rFonts w:ascii="Times New Roman" w:hAnsi="Times New Roman"/>
          <w:sz w:val="24"/>
          <w:szCs w:val="24"/>
        </w:rPr>
        <w:t xml:space="preserve"> </w:t>
      </w:r>
      <w:r w:rsidRPr="007A47C8">
        <w:rPr>
          <w:rFonts w:ascii="Times New Roman" w:hAnsi="Times New Roman"/>
          <w:sz w:val="24"/>
          <w:szCs w:val="24"/>
        </w:rPr>
        <w:t>воспитанник</w:t>
      </w:r>
      <w:r w:rsidR="007A47C8" w:rsidRPr="007A47C8">
        <w:rPr>
          <w:rFonts w:ascii="Times New Roman" w:hAnsi="Times New Roman"/>
          <w:sz w:val="24"/>
          <w:szCs w:val="24"/>
        </w:rPr>
        <w:t>ов</w:t>
      </w:r>
      <w:r w:rsidR="00E734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340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E73408">
        <w:rPr>
          <w:rFonts w:ascii="Times New Roman" w:hAnsi="Times New Roman"/>
          <w:sz w:val="24"/>
          <w:szCs w:val="24"/>
        </w:rPr>
        <w:t>от 3 до 7 лет)</w:t>
      </w:r>
      <w:r w:rsidRPr="007A47C8">
        <w:rPr>
          <w:rFonts w:ascii="Times New Roman" w:hAnsi="Times New Roman"/>
          <w:sz w:val="24"/>
          <w:szCs w:val="24"/>
        </w:rPr>
        <w:t>. Из них имеют:</w:t>
      </w:r>
    </w:p>
    <w:p w:rsidR="005C1185" w:rsidRPr="007A47C8" w:rsidRDefault="005C1185" w:rsidP="006627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>Высокий уровен</w:t>
      </w:r>
      <w:r w:rsidR="000C06BA">
        <w:rPr>
          <w:rFonts w:ascii="Times New Roman" w:hAnsi="Times New Roman"/>
          <w:sz w:val="24"/>
          <w:szCs w:val="24"/>
        </w:rPr>
        <w:t>ь: 8</w:t>
      </w:r>
      <w:r w:rsidRPr="007A47C8">
        <w:rPr>
          <w:rFonts w:ascii="Times New Roman" w:hAnsi="Times New Roman"/>
          <w:sz w:val="24"/>
          <w:szCs w:val="24"/>
        </w:rPr>
        <w:t xml:space="preserve">8 ч. – </w:t>
      </w:r>
      <w:r w:rsidR="000C06BA">
        <w:rPr>
          <w:rFonts w:ascii="Times New Roman" w:hAnsi="Times New Roman"/>
          <w:sz w:val="24"/>
          <w:szCs w:val="24"/>
        </w:rPr>
        <w:t>60</w:t>
      </w:r>
      <w:r w:rsidRPr="007A47C8">
        <w:rPr>
          <w:rFonts w:ascii="Times New Roman" w:hAnsi="Times New Roman"/>
          <w:sz w:val="24"/>
          <w:szCs w:val="24"/>
        </w:rPr>
        <w:t>%;</w:t>
      </w:r>
    </w:p>
    <w:p w:rsidR="005C1185" w:rsidRPr="007A47C8" w:rsidRDefault="000C06BA" w:rsidP="006627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уровень: 5</w:t>
      </w:r>
      <w:r w:rsidR="005C1185" w:rsidRPr="007A47C8">
        <w:rPr>
          <w:rFonts w:ascii="Times New Roman" w:hAnsi="Times New Roman"/>
          <w:sz w:val="24"/>
          <w:szCs w:val="24"/>
        </w:rPr>
        <w:t xml:space="preserve">3 ч. – </w:t>
      </w:r>
      <w:r w:rsidR="002D5907">
        <w:rPr>
          <w:rFonts w:ascii="Times New Roman" w:hAnsi="Times New Roman"/>
          <w:sz w:val="24"/>
          <w:szCs w:val="24"/>
        </w:rPr>
        <w:t>35</w:t>
      </w:r>
      <w:r w:rsidR="005C1185" w:rsidRPr="007A47C8">
        <w:rPr>
          <w:rFonts w:ascii="Times New Roman" w:hAnsi="Times New Roman"/>
          <w:sz w:val="24"/>
          <w:szCs w:val="24"/>
        </w:rPr>
        <w:t>%;</w:t>
      </w:r>
    </w:p>
    <w:p w:rsidR="005C1185" w:rsidRPr="007A47C8" w:rsidRDefault="005C1185" w:rsidP="006627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 xml:space="preserve">Низкий уровень: </w:t>
      </w:r>
      <w:r w:rsidR="007A47C8" w:rsidRPr="007A47C8">
        <w:rPr>
          <w:rFonts w:ascii="Times New Roman" w:hAnsi="Times New Roman"/>
          <w:sz w:val="24"/>
          <w:szCs w:val="24"/>
        </w:rPr>
        <w:t>7 ч</w:t>
      </w:r>
      <w:r w:rsidRPr="007A47C8">
        <w:rPr>
          <w:rFonts w:ascii="Times New Roman" w:hAnsi="Times New Roman"/>
          <w:sz w:val="24"/>
          <w:szCs w:val="24"/>
        </w:rPr>
        <w:t>.</w:t>
      </w:r>
      <w:r w:rsidR="007A47C8" w:rsidRPr="007A47C8">
        <w:rPr>
          <w:rFonts w:ascii="Times New Roman" w:hAnsi="Times New Roman"/>
          <w:sz w:val="24"/>
          <w:szCs w:val="24"/>
        </w:rPr>
        <w:t xml:space="preserve"> – </w:t>
      </w:r>
      <w:r w:rsidR="002D5907">
        <w:rPr>
          <w:rFonts w:ascii="Times New Roman" w:hAnsi="Times New Roman"/>
          <w:sz w:val="24"/>
          <w:szCs w:val="24"/>
        </w:rPr>
        <w:t>5</w:t>
      </w:r>
      <w:r w:rsidR="007A47C8" w:rsidRPr="007A47C8">
        <w:rPr>
          <w:rFonts w:ascii="Times New Roman" w:hAnsi="Times New Roman"/>
          <w:sz w:val="24"/>
          <w:szCs w:val="24"/>
        </w:rPr>
        <w:t>%</w:t>
      </w:r>
    </w:p>
    <w:p w:rsidR="005C1185" w:rsidRPr="007A47C8" w:rsidRDefault="0066270F" w:rsidP="006627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1185" w:rsidRPr="007A47C8">
        <w:rPr>
          <w:rFonts w:ascii="Times New Roman" w:hAnsi="Times New Roman"/>
          <w:sz w:val="24"/>
          <w:szCs w:val="24"/>
        </w:rPr>
        <w:t>Результаты освоения материала по образовательным областям используемой Программы находится в зависимости от образовательной области и возрастной группы. (</w:t>
      </w:r>
      <w:r w:rsidR="00E734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5C1185" w:rsidRPr="007A47C8">
        <w:rPr>
          <w:rFonts w:ascii="Times New Roman" w:hAnsi="Times New Roman"/>
          <w:sz w:val="24"/>
          <w:szCs w:val="24"/>
        </w:rPr>
        <w:t>)</w:t>
      </w:r>
      <w:proofErr w:type="gramEnd"/>
    </w:p>
    <w:p w:rsidR="005C1185" w:rsidRPr="007A47C8" w:rsidRDefault="005C1185" w:rsidP="005C118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C1185" w:rsidRPr="007A47C8" w:rsidRDefault="005C1185" w:rsidP="005C118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47C8">
        <w:rPr>
          <w:rFonts w:ascii="Times New Roman" w:hAnsi="Times New Roman"/>
          <w:b/>
          <w:sz w:val="24"/>
          <w:szCs w:val="24"/>
        </w:rPr>
        <w:lastRenderedPageBreak/>
        <w:t>Всего по детскому саду</w:t>
      </w:r>
    </w:p>
    <w:p w:rsidR="007A47C8" w:rsidRPr="007A47C8" w:rsidRDefault="007A47C8" w:rsidP="005C118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1185" w:rsidRPr="007A47C8" w:rsidRDefault="005C1185" w:rsidP="005C118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47C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3BB9A1D" wp14:editId="3F142413">
            <wp:extent cx="5705475" cy="21526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C1185" w:rsidRPr="007A47C8" w:rsidRDefault="005C1185" w:rsidP="005C118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1185" w:rsidRPr="007A47C8" w:rsidRDefault="005C1185" w:rsidP="005C118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47C8">
        <w:rPr>
          <w:rFonts w:ascii="Times New Roman" w:hAnsi="Times New Roman"/>
          <w:b/>
          <w:sz w:val="24"/>
          <w:szCs w:val="24"/>
        </w:rPr>
        <w:t>Сравнительный анализ по группам</w:t>
      </w:r>
    </w:p>
    <w:tbl>
      <w:tblPr>
        <w:tblW w:w="9571" w:type="dxa"/>
        <w:tblInd w:w="917" w:type="dxa"/>
        <w:tblLook w:val="01E0" w:firstRow="1" w:lastRow="1" w:firstColumn="1" w:lastColumn="1" w:noHBand="0" w:noVBand="0"/>
      </w:tblPr>
      <w:tblGrid>
        <w:gridCol w:w="9276"/>
        <w:gridCol w:w="295"/>
      </w:tblGrid>
      <w:tr w:rsidR="005C1185" w:rsidRPr="007A47C8" w:rsidTr="00C64710">
        <w:tc>
          <w:tcPr>
            <w:tcW w:w="9156" w:type="dxa"/>
          </w:tcPr>
          <w:p w:rsidR="005C1185" w:rsidRPr="007A47C8" w:rsidRDefault="005C1185" w:rsidP="005C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7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A47C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B8C911" wp14:editId="060654B1">
                  <wp:extent cx="5591175" cy="2533650"/>
                  <wp:effectExtent l="76200" t="38100" r="85725" b="11430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15" w:type="dxa"/>
          </w:tcPr>
          <w:p w:rsidR="005C1185" w:rsidRPr="007A47C8" w:rsidRDefault="005C1185" w:rsidP="00C64710">
            <w:pPr>
              <w:spacing w:after="0"/>
              <w:ind w:left="170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185" w:rsidRPr="007A47C8" w:rsidRDefault="005C1185" w:rsidP="005C11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1185" w:rsidRPr="007A47C8" w:rsidRDefault="002D5907" w:rsidP="005C11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 образовательной областям</w:t>
      </w:r>
      <w:r w:rsidR="005C1185" w:rsidRPr="007A47C8">
        <w:rPr>
          <w:rFonts w:ascii="Times New Roman" w:hAnsi="Times New Roman"/>
          <w:b/>
          <w:sz w:val="24"/>
          <w:szCs w:val="24"/>
        </w:rPr>
        <w:t xml:space="preserve"> «Социально – коммуникативное развитие»</w:t>
      </w:r>
      <w:r>
        <w:rPr>
          <w:rFonts w:ascii="Times New Roman" w:hAnsi="Times New Roman"/>
          <w:b/>
          <w:sz w:val="24"/>
          <w:szCs w:val="24"/>
        </w:rPr>
        <w:t>, «Познавательное развитие», «Речевое развитие», «Художественно – эстетическое развитие», «Физическое развитие»</w:t>
      </w:r>
      <w:proofErr w:type="gramEnd"/>
    </w:p>
    <w:p w:rsidR="005C1185" w:rsidRPr="007A47C8" w:rsidRDefault="005C1185" w:rsidP="00662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 xml:space="preserve">По итогам педагогической диагностики </w:t>
      </w:r>
      <w:r w:rsidR="000C06BA">
        <w:rPr>
          <w:rFonts w:ascii="Times New Roman" w:hAnsi="Times New Roman"/>
          <w:sz w:val="24"/>
          <w:szCs w:val="24"/>
        </w:rPr>
        <w:t>148</w:t>
      </w:r>
      <w:r w:rsidRPr="007A47C8">
        <w:rPr>
          <w:rFonts w:ascii="Times New Roman" w:hAnsi="Times New Roman"/>
          <w:sz w:val="24"/>
          <w:szCs w:val="24"/>
        </w:rPr>
        <w:t xml:space="preserve"> </w:t>
      </w:r>
      <w:r w:rsidR="000C06BA">
        <w:rPr>
          <w:rFonts w:ascii="Times New Roman" w:hAnsi="Times New Roman"/>
          <w:sz w:val="24"/>
          <w:szCs w:val="24"/>
        </w:rPr>
        <w:t>детей</w:t>
      </w:r>
      <w:r w:rsidRPr="007A47C8">
        <w:rPr>
          <w:rFonts w:ascii="Times New Roman" w:hAnsi="Times New Roman"/>
          <w:sz w:val="24"/>
          <w:szCs w:val="24"/>
        </w:rPr>
        <w:t xml:space="preserve"> показали положительный результат освоения </w:t>
      </w:r>
      <w:r w:rsidRPr="000C06BA">
        <w:rPr>
          <w:rFonts w:ascii="Times New Roman" w:hAnsi="Times New Roman"/>
          <w:sz w:val="24"/>
          <w:szCs w:val="24"/>
        </w:rPr>
        <w:t>программного материала</w:t>
      </w:r>
      <w:r w:rsidR="002D5907">
        <w:rPr>
          <w:rFonts w:ascii="Times New Roman" w:hAnsi="Times New Roman"/>
          <w:sz w:val="24"/>
          <w:szCs w:val="24"/>
        </w:rPr>
        <w:t>.</w:t>
      </w:r>
      <w:r w:rsidRPr="007A47C8">
        <w:rPr>
          <w:rFonts w:ascii="Times New Roman" w:hAnsi="Times New Roman"/>
          <w:sz w:val="24"/>
          <w:szCs w:val="24"/>
        </w:rPr>
        <w:t xml:space="preserve">    </w:t>
      </w:r>
    </w:p>
    <w:p w:rsidR="005C1185" w:rsidRPr="007A47C8" w:rsidRDefault="005C1185" w:rsidP="002D5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185" w:rsidRPr="002D5907" w:rsidRDefault="005C1185" w:rsidP="005C1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 xml:space="preserve">Анализ </w:t>
      </w:r>
      <w:r w:rsidRPr="002D5907">
        <w:rPr>
          <w:rFonts w:ascii="Times New Roman" w:hAnsi="Times New Roman"/>
          <w:b/>
          <w:sz w:val="24"/>
          <w:szCs w:val="24"/>
        </w:rPr>
        <w:t>диагностики детского развития</w:t>
      </w:r>
      <w:r w:rsidRPr="002D5907">
        <w:rPr>
          <w:rFonts w:ascii="Times New Roman" w:hAnsi="Times New Roman"/>
          <w:sz w:val="24"/>
          <w:szCs w:val="24"/>
        </w:rPr>
        <w:t xml:space="preserve"> </w:t>
      </w:r>
      <w:r w:rsidRPr="007A47C8">
        <w:rPr>
          <w:rFonts w:ascii="Times New Roman" w:hAnsi="Times New Roman"/>
          <w:sz w:val="24"/>
          <w:szCs w:val="24"/>
        </w:rPr>
        <w:t xml:space="preserve">показали, что у дошкольников образовательного учреждения на высоком и среднем уровне развиты </w:t>
      </w:r>
      <w:r w:rsidRPr="002D5907">
        <w:rPr>
          <w:rFonts w:ascii="Times New Roman" w:hAnsi="Times New Roman"/>
          <w:b/>
          <w:sz w:val="24"/>
          <w:szCs w:val="24"/>
        </w:rPr>
        <w:t>интегративные качества</w:t>
      </w:r>
      <w:r w:rsidRPr="002D5907">
        <w:rPr>
          <w:rFonts w:ascii="Times New Roman" w:hAnsi="Times New Roman"/>
          <w:sz w:val="24"/>
          <w:szCs w:val="24"/>
        </w:rPr>
        <w:t>.</w:t>
      </w:r>
    </w:p>
    <w:p w:rsidR="005C1185" w:rsidRPr="007A47C8" w:rsidRDefault="005C1185" w:rsidP="005C1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 xml:space="preserve">По итогам диагностики интегративных качеств личности </w:t>
      </w:r>
      <w:r w:rsidR="002D5907">
        <w:rPr>
          <w:rFonts w:ascii="Times New Roman" w:hAnsi="Times New Roman"/>
          <w:sz w:val="24"/>
          <w:szCs w:val="24"/>
        </w:rPr>
        <w:t>148</w:t>
      </w:r>
      <w:r w:rsidRPr="007A47C8">
        <w:rPr>
          <w:rFonts w:ascii="Times New Roman" w:hAnsi="Times New Roman"/>
          <w:sz w:val="24"/>
          <w:szCs w:val="24"/>
        </w:rPr>
        <w:t xml:space="preserve"> </w:t>
      </w:r>
      <w:r w:rsidR="002D5907">
        <w:rPr>
          <w:rFonts w:ascii="Times New Roman" w:hAnsi="Times New Roman"/>
          <w:sz w:val="24"/>
          <w:szCs w:val="24"/>
        </w:rPr>
        <w:t>детей</w:t>
      </w:r>
      <w:r w:rsidRPr="007A47C8">
        <w:rPr>
          <w:rFonts w:ascii="Times New Roman" w:hAnsi="Times New Roman"/>
          <w:sz w:val="24"/>
          <w:szCs w:val="24"/>
        </w:rPr>
        <w:t xml:space="preserve"> 100 % показали положительный результат.</w:t>
      </w:r>
      <w:r w:rsidRPr="007A47C8">
        <w:rPr>
          <w:rFonts w:ascii="Times New Roman" w:hAnsi="Times New Roman"/>
          <w:sz w:val="24"/>
          <w:szCs w:val="24"/>
        </w:rPr>
        <w:tab/>
      </w:r>
    </w:p>
    <w:p w:rsidR="005C1185" w:rsidRPr="007A47C8" w:rsidRDefault="005C1185" w:rsidP="002D5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>Результаты диагностики детского развития на начало учебного года:</w:t>
      </w:r>
    </w:p>
    <w:p w:rsidR="005C1185" w:rsidRPr="007A47C8" w:rsidRDefault="005C1185" w:rsidP="006627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 xml:space="preserve">Высокий уровень: </w:t>
      </w:r>
      <w:r w:rsidR="002D5907">
        <w:rPr>
          <w:rFonts w:ascii="Times New Roman" w:hAnsi="Times New Roman"/>
          <w:sz w:val="24"/>
          <w:szCs w:val="24"/>
        </w:rPr>
        <w:t>110</w:t>
      </w:r>
      <w:r w:rsidRPr="007A47C8">
        <w:rPr>
          <w:rFonts w:ascii="Times New Roman" w:hAnsi="Times New Roman"/>
          <w:sz w:val="24"/>
          <w:szCs w:val="24"/>
        </w:rPr>
        <w:t xml:space="preserve"> ч. – </w:t>
      </w:r>
      <w:r w:rsidR="002D5907">
        <w:rPr>
          <w:rFonts w:ascii="Times New Roman" w:hAnsi="Times New Roman"/>
          <w:sz w:val="24"/>
          <w:szCs w:val="24"/>
        </w:rPr>
        <w:t>74</w:t>
      </w:r>
      <w:r w:rsidRPr="007A47C8">
        <w:rPr>
          <w:rFonts w:ascii="Times New Roman" w:hAnsi="Times New Roman"/>
          <w:sz w:val="24"/>
          <w:szCs w:val="24"/>
        </w:rPr>
        <w:t xml:space="preserve"> %;</w:t>
      </w:r>
    </w:p>
    <w:p w:rsidR="005C1185" w:rsidRPr="007A47C8" w:rsidRDefault="005C1185" w:rsidP="006627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 xml:space="preserve">Средний уровень: </w:t>
      </w:r>
      <w:r w:rsidR="002D5907">
        <w:rPr>
          <w:rFonts w:ascii="Times New Roman" w:hAnsi="Times New Roman"/>
          <w:sz w:val="24"/>
          <w:szCs w:val="24"/>
        </w:rPr>
        <w:t>38</w:t>
      </w:r>
      <w:r w:rsidRPr="007A47C8">
        <w:rPr>
          <w:rFonts w:ascii="Times New Roman" w:hAnsi="Times New Roman"/>
          <w:sz w:val="24"/>
          <w:szCs w:val="24"/>
        </w:rPr>
        <w:t xml:space="preserve"> ч. – </w:t>
      </w:r>
      <w:r w:rsidR="002D5907">
        <w:rPr>
          <w:rFonts w:ascii="Times New Roman" w:hAnsi="Times New Roman"/>
          <w:sz w:val="24"/>
          <w:szCs w:val="24"/>
        </w:rPr>
        <w:t>26</w:t>
      </w:r>
      <w:r w:rsidRPr="007A47C8">
        <w:rPr>
          <w:rFonts w:ascii="Times New Roman" w:hAnsi="Times New Roman"/>
          <w:sz w:val="24"/>
          <w:szCs w:val="24"/>
        </w:rPr>
        <w:t xml:space="preserve"> %;</w:t>
      </w:r>
    </w:p>
    <w:p w:rsidR="005C1185" w:rsidRPr="007A47C8" w:rsidRDefault="005C1185" w:rsidP="006627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>Низкий уровень: с низким уровнем детей нет.</w:t>
      </w:r>
    </w:p>
    <w:p w:rsidR="005C1185" w:rsidRDefault="005C1185" w:rsidP="005C11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 xml:space="preserve"> </w:t>
      </w:r>
    </w:p>
    <w:p w:rsidR="009F62AF" w:rsidRPr="007A47C8" w:rsidRDefault="009F62AF" w:rsidP="005C11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1633" w:type="dxa"/>
        <w:tblInd w:w="-703" w:type="dxa"/>
        <w:tblLook w:val="04A0" w:firstRow="1" w:lastRow="0" w:firstColumn="1" w:lastColumn="0" w:noHBand="0" w:noVBand="1"/>
      </w:tblPr>
      <w:tblGrid>
        <w:gridCol w:w="11411"/>
        <w:gridCol w:w="222"/>
      </w:tblGrid>
      <w:tr w:rsidR="005C1185" w:rsidRPr="007A47C8" w:rsidTr="009F62AF">
        <w:tc>
          <w:tcPr>
            <w:tcW w:w="11411" w:type="dxa"/>
          </w:tcPr>
          <w:p w:rsidR="005C1185" w:rsidRPr="007A47C8" w:rsidRDefault="005C1185" w:rsidP="00C64710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7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Всего по детскому саду</w:t>
            </w:r>
          </w:p>
          <w:p w:rsidR="005C1185" w:rsidRPr="007A47C8" w:rsidRDefault="005C1185" w:rsidP="00C64710">
            <w:pPr>
              <w:spacing w:after="0"/>
              <w:ind w:left="1985" w:firstLine="1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7C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A47C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F872B5" wp14:editId="13556BEA">
                  <wp:extent cx="5838825" cy="2114550"/>
                  <wp:effectExtent l="0" t="0" r="9525" b="1905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5C1185" w:rsidRPr="007A47C8" w:rsidRDefault="005C1185" w:rsidP="00C6471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185" w:rsidRPr="007A47C8" w:rsidTr="009F62AF">
        <w:tc>
          <w:tcPr>
            <w:tcW w:w="11411" w:type="dxa"/>
          </w:tcPr>
          <w:p w:rsidR="005C1185" w:rsidRPr="007A47C8" w:rsidRDefault="005C1185" w:rsidP="00C647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5C1185" w:rsidRPr="007A47C8" w:rsidRDefault="005C1185" w:rsidP="00C647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185" w:rsidRPr="007A47C8" w:rsidRDefault="005C1185" w:rsidP="005C1185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C1185" w:rsidRPr="007A47C8" w:rsidRDefault="005C1185" w:rsidP="005C118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47C8">
        <w:rPr>
          <w:rFonts w:ascii="Times New Roman" w:hAnsi="Times New Roman"/>
          <w:b/>
          <w:sz w:val="24"/>
          <w:szCs w:val="24"/>
        </w:rPr>
        <w:t>Сравнительный анализ по группам</w:t>
      </w:r>
    </w:p>
    <w:p w:rsidR="005C1185" w:rsidRPr="007A47C8" w:rsidRDefault="005C1185" w:rsidP="005C118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A47C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A47E4C" wp14:editId="468E05FF">
            <wp:extent cx="6150429" cy="3265714"/>
            <wp:effectExtent l="0" t="0" r="3175" b="1143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1185" w:rsidRPr="007A47C8" w:rsidRDefault="005C1185" w:rsidP="000C06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185" w:rsidRPr="007A47C8" w:rsidRDefault="005C1185" w:rsidP="006627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t>Положительные результаты детского разв</w:t>
      </w:r>
      <w:r w:rsidR="002D5907">
        <w:rPr>
          <w:rFonts w:ascii="Times New Roman" w:hAnsi="Times New Roman"/>
          <w:sz w:val="24"/>
          <w:szCs w:val="24"/>
        </w:rPr>
        <w:t>ития находятся в диапазоне от 26</w:t>
      </w:r>
      <w:r w:rsidRPr="007A47C8">
        <w:rPr>
          <w:rFonts w:ascii="Times New Roman" w:hAnsi="Times New Roman"/>
          <w:sz w:val="24"/>
          <w:szCs w:val="24"/>
        </w:rPr>
        <w:t xml:space="preserve"> % до </w:t>
      </w:r>
      <w:r w:rsidR="002D5907">
        <w:rPr>
          <w:rFonts w:ascii="Times New Roman" w:hAnsi="Times New Roman"/>
          <w:sz w:val="24"/>
          <w:szCs w:val="24"/>
        </w:rPr>
        <w:t>74</w:t>
      </w:r>
      <w:r w:rsidRPr="007A47C8">
        <w:rPr>
          <w:rFonts w:ascii="Times New Roman" w:hAnsi="Times New Roman"/>
          <w:sz w:val="24"/>
          <w:szCs w:val="24"/>
        </w:rPr>
        <w:t xml:space="preserve"> %</w:t>
      </w:r>
      <w:r w:rsidR="0066270F">
        <w:rPr>
          <w:rFonts w:ascii="Times New Roman" w:hAnsi="Times New Roman"/>
          <w:sz w:val="24"/>
          <w:szCs w:val="24"/>
        </w:rPr>
        <w:t xml:space="preserve"> </w:t>
      </w:r>
      <w:r w:rsidRPr="007A47C8">
        <w:rPr>
          <w:rFonts w:ascii="Times New Roman" w:hAnsi="Times New Roman"/>
          <w:sz w:val="24"/>
          <w:szCs w:val="24"/>
        </w:rPr>
        <w:t>высокого уровня в зависимости от интегративного качества и возрастной группы.</w:t>
      </w:r>
    </w:p>
    <w:p w:rsidR="005C1185" w:rsidRPr="007A47C8" w:rsidRDefault="006162D3" w:rsidP="006162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C1185" w:rsidRPr="007A47C8">
        <w:rPr>
          <w:rFonts w:ascii="Times New Roman" w:hAnsi="Times New Roman"/>
          <w:b/>
          <w:sz w:val="24"/>
          <w:szCs w:val="24"/>
        </w:rPr>
        <w:t xml:space="preserve">Интегративное качество «Физически </w:t>
      </w:r>
      <w:proofErr w:type="gramStart"/>
      <w:r w:rsidR="005C1185" w:rsidRPr="007A47C8">
        <w:rPr>
          <w:rFonts w:ascii="Times New Roman" w:hAnsi="Times New Roman"/>
          <w:b/>
          <w:sz w:val="24"/>
          <w:szCs w:val="24"/>
        </w:rPr>
        <w:t>развитый</w:t>
      </w:r>
      <w:proofErr w:type="gramEnd"/>
      <w:r w:rsidR="005C1185" w:rsidRPr="007A47C8">
        <w:rPr>
          <w:rFonts w:ascii="Times New Roman" w:hAnsi="Times New Roman"/>
          <w:b/>
          <w:sz w:val="24"/>
          <w:szCs w:val="24"/>
        </w:rPr>
        <w:t>, овладевший основными культурно-гигиеническими навыками».</w:t>
      </w:r>
      <w:r w:rsidR="005C1185" w:rsidRPr="007A47C8">
        <w:rPr>
          <w:rFonts w:ascii="Times New Roman" w:hAnsi="Times New Roman"/>
          <w:sz w:val="24"/>
          <w:szCs w:val="24"/>
        </w:rPr>
        <w:t xml:space="preserve"> Анализ показателей динамики формирования интегративного качества позволяет сделать следующие выводы: во всех группах у детей сформированы основные движения и потребность в двигательной активности в соответствии с возрастными особенностями. Наиболее высоко данное интеграти</w:t>
      </w:r>
      <w:r w:rsidR="00E73408">
        <w:rPr>
          <w:rFonts w:ascii="Times New Roman" w:hAnsi="Times New Roman"/>
          <w:sz w:val="24"/>
          <w:szCs w:val="24"/>
        </w:rPr>
        <w:t>вное качество развито у детей во 2 средней и старшей</w:t>
      </w:r>
      <w:r w:rsidR="005C1185" w:rsidRPr="007A47C8">
        <w:rPr>
          <w:rFonts w:ascii="Times New Roman" w:hAnsi="Times New Roman"/>
          <w:sz w:val="24"/>
          <w:szCs w:val="24"/>
        </w:rPr>
        <w:t xml:space="preserve"> группах. Во всех группах показатели </w:t>
      </w:r>
      <w:proofErr w:type="spellStart"/>
      <w:r w:rsidR="005C1185" w:rsidRPr="007A47C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5C1185" w:rsidRPr="007A47C8">
        <w:rPr>
          <w:rFonts w:ascii="Times New Roman" w:hAnsi="Times New Roman"/>
          <w:sz w:val="24"/>
          <w:szCs w:val="24"/>
        </w:rPr>
        <w:t xml:space="preserve"> представлений о здоровом образе жизни и соблюдение элементарных правил здорового образа жизни находятся на достаточно высоком уровне. </w:t>
      </w:r>
    </w:p>
    <w:p w:rsidR="005C1185" w:rsidRPr="007A47C8" w:rsidRDefault="005C1185" w:rsidP="006162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1185" w:rsidRPr="006162D3" w:rsidRDefault="006162D3" w:rsidP="006162D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</w:t>
      </w:r>
      <w:r w:rsidR="005C1185" w:rsidRPr="007A47C8">
        <w:rPr>
          <w:rFonts w:ascii="Times New Roman" w:hAnsi="Times New Roman"/>
          <w:b/>
          <w:sz w:val="24"/>
          <w:szCs w:val="24"/>
        </w:rPr>
        <w:t>Интегративное качество «</w:t>
      </w:r>
      <w:proofErr w:type="gramStart"/>
      <w:r w:rsidR="005C1185" w:rsidRPr="007A47C8">
        <w:rPr>
          <w:rFonts w:ascii="Times New Roman" w:hAnsi="Times New Roman"/>
          <w:b/>
          <w:sz w:val="24"/>
          <w:szCs w:val="24"/>
        </w:rPr>
        <w:t>Любознательный</w:t>
      </w:r>
      <w:proofErr w:type="gramEnd"/>
      <w:r w:rsidR="005C1185" w:rsidRPr="007A47C8">
        <w:rPr>
          <w:rFonts w:ascii="Times New Roman" w:hAnsi="Times New Roman"/>
          <w:b/>
          <w:sz w:val="24"/>
          <w:szCs w:val="24"/>
        </w:rPr>
        <w:t>, активный».</w:t>
      </w:r>
      <w:r w:rsidR="005C1185" w:rsidRPr="007A47C8">
        <w:rPr>
          <w:rFonts w:ascii="Times New Roman" w:hAnsi="Times New Roman"/>
          <w:sz w:val="24"/>
          <w:szCs w:val="24"/>
        </w:rPr>
        <w:t xml:space="preserve"> </w:t>
      </w:r>
      <w:r w:rsidR="005C1185" w:rsidRPr="007A47C8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показателей динамики формирования интегративного качества позволяет сделать следующие выводы: во всех группах, в основном, познавательные интересы, вопросы, участие в образовательном процессе находятся на высоком уровне. Наиболее </w:t>
      </w:r>
      <w:proofErr w:type="gramStart"/>
      <w:r w:rsidR="005C1185" w:rsidRPr="007A47C8">
        <w:rPr>
          <w:rFonts w:ascii="Times New Roman" w:eastAsia="Times New Roman" w:hAnsi="Times New Roman"/>
          <w:sz w:val="24"/>
          <w:szCs w:val="24"/>
          <w:lang w:eastAsia="ru-RU"/>
        </w:rPr>
        <w:t>высоко</w:t>
      </w:r>
      <w:r w:rsidR="00E73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1185" w:rsidRPr="007A47C8">
        <w:rPr>
          <w:rFonts w:ascii="Times New Roman" w:eastAsia="Times New Roman" w:hAnsi="Times New Roman"/>
          <w:sz w:val="24"/>
          <w:szCs w:val="24"/>
          <w:lang w:eastAsia="ru-RU"/>
        </w:rPr>
        <w:t>развито</w:t>
      </w:r>
      <w:proofErr w:type="gramEnd"/>
      <w:r w:rsidR="005C1185" w:rsidRPr="007A47C8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интегративное качество у детей </w:t>
      </w:r>
      <w:r w:rsidR="00E73408">
        <w:rPr>
          <w:rFonts w:ascii="Times New Roman" w:eastAsia="Times New Roman" w:hAnsi="Times New Roman"/>
          <w:sz w:val="24"/>
          <w:szCs w:val="24"/>
          <w:lang w:eastAsia="ru-RU"/>
        </w:rPr>
        <w:t>старшей группы (100%). Однако</w:t>
      </w:r>
      <w:r w:rsidR="005C1185" w:rsidRPr="007A47C8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всех группах необходимо уделять большое внимание проведению познавательной опытно-экспериментальной деятельности.</w:t>
      </w:r>
    </w:p>
    <w:p w:rsidR="005C1185" w:rsidRPr="006162D3" w:rsidRDefault="006162D3" w:rsidP="006162D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C1185" w:rsidRPr="007A47C8">
        <w:rPr>
          <w:rFonts w:ascii="Times New Roman" w:hAnsi="Times New Roman"/>
          <w:b/>
          <w:sz w:val="24"/>
          <w:szCs w:val="24"/>
        </w:rPr>
        <w:t xml:space="preserve">Интегративное качество «Эмоционально - </w:t>
      </w:r>
      <w:proofErr w:type="gramStart"/>
      <w:r w:rsidR="005C1185" w:rsidRPr="007A47C8">
        <w:rPr>
          <w:rFonts w:ascii="Times New Roman" w:hAnsi="Times New Roman"/>
          <w:b/>
          <w:sz w:val="24"/>
          <w:szCs w:val="24"/>
        </w:rPr>
        <w:t>отзывчивый</w:t>
      </w:r>
      <w:proofErr w:type="gramEnd"/>
      <w:r w:rsidR="005C1185" w:rsidRPr="007A47C8">
        <w:rPr>
          <w:rFonts w:ascii="Times New Roman" w:hAnsi="Times New Roman"/>
          <w:b/>
          <w:sz w:val="24"/>
          <w:szCs w:val="24"/>
        </w:rPr>
        <w:t>».</w:t>
      </w:r>
      <w:r w:rsidR="005C1185" w:rsidRPr="007A47C8">
        <w:rPr>
          <w:rFonts w:ascii="Times New Roman" w:hAnsi="Times New Roman"/>
          <w:sz w:val="24"/>
          <w:szCs w:val="24"/>
        </w:rPr>
        <w:t xml:space="preserve"> </w:t>
      </w:r>
      <w:r w:rsidR="005C1185" w:rsidRPr="007A47C8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показателей динамики формирования интегративного качества позволяет сделать следующие выводы: во всех группах, в основном, у воспитанников выражено сопереживание персонажам сказок, историй, рассказов, дети эмоционально реагируют на произведения искусства, имеют представления об эмоциональных состояниях. Наиболее высоко данное интегративное качество развито у детей </w:t>
      </w:r>
      <w:r w:rsidR="00E73408">
        <w:rPr>
          <w:rFonts w:ascii="Times New Roman" w:eastAsia="Times New Roman" w:hAnsi="Times New Roman"/>
          <w:sz w:val="24"/>
          <w:szCs w:val="24"/>
          <w:lang w:eastAsia="ru-RU"/>
        </w:rPr>
        <w:t>старше</w:t>
      </w:r>
      <w:r w:rsidR="005C1185" w:rsidRPr="007A47C8">
        <w:rPr>
          <w:rFonts w:ascii="Times New Roman" w:eastAsia="Times New Roman" w:hAnsi="Times New Roman"/>
          <w:sz w:val="24"/>
          <w:szCs w:val="24"/>
          <w:lang w:eastAsia="ru-RU"/>
        </w:rPr>
        <w:t>й группы</w:t>
      </w:r>
      <w:r w:rsidR="00E73408">
        <w:rPr>
          <w:rFonts w:ascii="Times New Roman" w:eastAsia="Times New Roman" w:hAnsi="Times New Roman"/>
          <w:sz w:val="24"/>
          <w:szCs w:val="24"/>
          <w:lang w:eastAsia="ru-RU"/>
        </w:rPr>
        <w:t xml:space="preserve"> (100%). В</w:t>
      </w:r>
      <w:r w:rsidR="005C1185" w:rsidRPr="007A47C8">
        <w:rPr>
          <w:rFonts w:ascii="Times New Roman" w:eastAsia="Times New Roman" w:hAnsi="Times New Roman"/>
          <w:sz w:val="24"/>
          <w:szCs w:val="24"/>
          <w:lang w:eastAsia="ru-RU"/>
        </w:rPr>
        <w:t>о всех группах необходимо уделить большое внимание формированию эмоциональной отзывчивости в деятельности и общении, отклику на эмоции близких людей и друзей</w:t>
      </w:r>
    </w:p>
    <w:p w:rsidR="005C1185" w:rsidRDefault="006162D3" w:rsidP="00E734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C1185" w:rsidRPr="007A47C8">
        <w:rPr>
          <w:rFonts w:ascii="Times New Roman" w:hAnsi="Times New Roman"/>
          <w:b/>
          <w:sz w:val="24"/>
          <w:szCs w:val="24"/>
        </w:rPr>
        <w:t xml:space="preserve">Интегративное качество «Овладевший средствами общения и способами взаимодействия </w:t>
      </w:r>
      <w:proofErr w:type="gramStart"/>
      <w:r w:rsidR="005C1185" w:rsidRPr="007A47C8">
        <w:rPr>
          <w:rFonts w:ascii="Times New Roman" w:hAnsi="Times New Roman"/>
          <w:b/>
          <w:sz w:val="24"/>
          <w:szCs w:val="24"/>
        </w:rPr>
        <w:t>со</w:t>
      </w:r>
      <w:proofErr w:type="gramEnd"/>
      <w:r w:rsidR="005C1185" w:rsidRPr="007A47C8">
        <w:rPr>
          <w:rFonts w:ascii="Times New Roman" w:hAnsi="Times New Roman"/>
          <w:b/>
          <w:sz w:val="24"/>
          <w:szCs w:val="24"/>
        </w:rPr>
        <w:t xml:space="preserve"> взрослыми и сверстниками».</w:t>
      </w:r>
      <w:r w:rsidR="005C1185" w:rsidRPr="007A47C8">
        <w:rPr>
          <w:rFonts w:ascii="Times New Roman" w:hAnsi="Times New Roman"/>
          <w:sz w:val="24"/>
          <w:szCs w:val="24"/>
        </w:rPr>
        <w:t xml:space="preserve"> Анализ показателей динамики формирования интегративного качества позволяет сделать следующие выводы: во всех группах, в основном, воспитанники всех групп используют вербальные и невербальные средства общения, владеют конструктив</w:t>
      </w:r>
      <w:r w:rsidR="00E73408">
        <w:rPr>
          <w:rFonts w:ascii="Times New Roman" w:hAnsi="Times New Roman"/>
          <w:sz w:val="24"/>
          <w:szCs w:val="24"/>
        </w:rPr>
        <w:t>ными способами взаимодействия с</w:t>
      </w:r>
      <w:r w:rsidR="005C1185" w:rsidRPr="007A47C8">
        <w:rPr>
          <w:rFonts w:ascii="Times New Roman" w:hAnsi="Times New Roman"/>
          <w:sz w:val="24"/>
          <w:szCs w:val="24"/>
        </w:rPr>
        <w:t xml:space="preserve"> взр</w:t>
      </w:r>
      <w:r w:rsidR="00E73408">
        <w:rPr>
          <w:rFonts w:ascii="Times New Roman" w:hAnsi="Times New Roman"/>
          <w:sz w:val="24"/>
          <w:szCs w:val="24"/>
        </w:rPr>
        <w:t>ослыми и сверстниками. Н</w:t>
      </w:r>
      <w:r w:rsidR="005C1185" w:rsidRPr="007A47C8">
        <w:rPr>
          <w:rFonts w:ascii="Times New Roman" w:hAnsi="Times New Roman"/>
          <w:sz w:val="24"/>
          <w:szCs w:val="24"/>
        </w:rPr>
        <w:t xml:space="preserve">ужно уделять внимание </w:t>
      </w:r>
      <w:r w:rsidR="00E73408">
        <w:rPr>
          <w:rFonts w:ascii="Times New Roman" w:hAnsi="Times New Roman"/>
          <w:sz w:val="24"/>
          <w:szCs w:val="24"/>
        </w:rPr>
        <w:t>формированию культуры общения с</w:t>
      </w:r>
      <w:r w:rsidR="005C1185" w:rsidRPr="007A47C8">
        <w:rPr>
          <w:rFonts w:ascii="Times New Roman" w:hAnsi="Times New Roman"/>
          <w:sz w:val="24"/>
          <w:szCs w:val="24"/>
        </w:rPr>
        <w:t xml:space="preserve"> взрослыми и разнообразных форм общения со сверстниками.</w:t>
      </w:r>
    </w:p>
    <w:p w:rsidR="006162D3" w:rsidRPr="006162D3" w:rsidRDefault="006162D3" w:rsidP="00E734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185" w:rsidRPr="007A47C8" w:rsidRDefault="006162D3" w:rsidP="005C118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C1185" w:rsidRPr="007A47C8">
        <w:rPr>
          <w:rFonts w:ascii="Times New Roman" w:hAnsi="Times New Roman"/>
          <w:b/>
          <w:sz w:val="24"/>
          <w:szCs w:val="24"/>
        </w:rPr>
        <w:t>Интегративное качество «</w:t>
      </w:r>
      <w:proofErr w:type="gramStart"/>
      <w:r w:rsidR="005C1185" w:rsidRPr="007A47C8">
        <w:rPr>
          <w:rFonts w:ascii="Times New Roman" w:hAnsi="Times New Roman"/>
          <w:b/>
          <w:sz w:val="24"/>
          <w:szCs w:val="24"/>
        </w:rPr>
        <w:t>Способный</w:t>
      </w:r>
      <w:proofErr w:type="gramEnd"/>
      <w:r w:rsidR="005C1185" w:rsidRPr="007A47C8">
        <w:rPr>
          <w:rFonts w:ascii="Times New Roman" w:hAnsi="Times New Roman"/>
          <w:b/>
          <w:sz w:val="24"/>
          <w:szCs w:val="24"/>
        </w:rPr>
        <w:t xml:space="preserve"> управлять своим поведением и планировать действия».</w:t>
      </w:r>
      <w:r w:rsidR="005C1185" w:rsidRPr="007A47C8">
        <w:rPr>
          <w:rFonts w:ascii="Times New Roman" w:hAnsi="Times New Roman"/>
          <w:sz w:val="24"/>
          <w:szCs w:val="24"/>
        </w:rPr>
        <w:t xml:space="preserve"> Анализ показателей динамики формирования интегративного качества позволяет сделать следующие выводы: в основном воспитанники всех возрастных групп соблюдают правила поведения на улице, в общественных местах, способны к волевому усилию, стараются соподчи</w:t>
      </w:r>
      <w:r w:rsidR="00E73408">
        <w:rPr>
          <w:rFonts w:ascii="Times New Roman" w:hAnsi="Times New Roman"/>
          <w:sz w:val="24"/>
          <w:szCs w:val="24"/>
        </w:rPr>
        <w:t>нять мотивы поведения. Н</w:t>
      </w:r>
      <w:r w:rsidR="005C1185" w:rsidRPr="007A47C8">
        <w:rPr>
          <w:rFonts w:ascii="Times New Roman" w:hAnsi="Times New Roman"/>
          <w:sz w:val="24"/>
          <w:szCs w:val="24"/>
        </w:rPr>
        <w:t>еобходимо уделять серьёзное внимание соблюдению элементарных общепринятых моральных норм и правил поведения детьми.</w:t>
      </w:r>
    </w:p>
    <w:p w:rsidR="006162D3" w:rsidRDefault="006162D3" w:rsidP="005C11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185" w:rsidRPr="006162D3" w:rsidRDefault="006162D3" w:rsidP="005C11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1185" w:rsidRPr="007A47C8">
        <w:rPr>
          <w:rFonts w:ascii="Times New Roman" w:hAnsi="Times New Roman"/>
          <w:b/>
          <w:sz w:val="24"/>
          <w:szCs w:val="24"/>
        </w:rPr>
        <w:t>Интегративное качество «</w:t>
      </w:r>
      <w:proofErr w:type="gramStart"/>
      <w:r w:rsidR="005C1185" w:rsidRPr="007A47C8">
        <w:rPr>
          <w:rFonts w:ascii="Times New Roman" w:hAnsi="Times New Roman"/>
          <w:b/>
          <w:sz w:val="24"/>
          <w:szCs w:val="24"/>
        </w:rPr>
        <w:t>Овладевший</w:t>
      </w:r>
      <w:proofErr w:type="gramEnd"/>
      <w:r w:rsidR="005C1185" w:rsidRPr="007A47C8">
        <w:rPr>
          <w:rFonts w:ascii="Times New Roman" w:hAnsi="Times New Roman"/>
          <w:b/>
          <w:sz w:val="24"/>
          <w:szCs w:val="24"/>
        </w:rPr>
        <w:t xml:space="preserve"> умениями и навыками».</w:t>
      </w:r>
      <w:r w:rsidR="005C1185" w:rsidRPr="007A47C8">
        <w:rPr>
          <w:rFonts w:ascii="Times New Roman" w:hAnsi="Times New Roman"/>
          <w:sz w:val="24"/>
          <w:szCs w:val="24"/>
        </w:rPr>
        <w:t xml:space="preserve"> Анализ показателей динамики формирования интегративного качества позволяет сделать следующие выводы: в основном, воспитанники всех групп овладели необходимыми умениями и навыками в соответствии с возрастными особенностями. Наиболее высокие результаты развития данного интегративного качества у детей старшей группы. Необходимо и дальше вести работу по развитию умений и навыков воспитанников.</w:t>
      </w:r>
    </w:p>
    <w:p w:rsidR="006162D3" w:rsidRDefault="006162D3" w:rsidP="00E734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185" w:rsidRPr="007A47C8" w:rsidRDefault="006162D3" w:rsidP="00E734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1185" w:rsidRPr="007A47C8">
        <w:rPr>
          <w:rFonts w:ascii="Times New Roman" w:hAnsi="Times New Roman"/>
          <w:sz w:val="24"/>
          <w:szCs w:val="24"/>
        </w:rPr>
        <w:t xml:space="preserve">Таким образом, интегративные качества развиты у детей дошкольного образовательного учреждения на высоком уровне.  </w:t>
      </w:r>
    </w:p>
    <w:p w:rsidR="005C1185" w:rsidRPr="007A47C8" w:rsidRDefault="005C1185" w:rsidP="005C118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A47C8">
        <w:rPr>
          <w:rFonts w:ascii="Times New Roman" w:hAnsi="Times New Roman"/>
          <w:sz w:val="24"/>
          <w:szCs w:val="24"/>
        </w:rPr>
        <w:t>По результатам анализа данных качества детского развития, можно определить рейтинговый порядок развития интегративных качеств у детей: развиты у воспитанников такие интегративные качества, как «Овладевший умениями и навыками», «Любознательный, активный»</w:t>
      </w:r>
    </w:p>
    <w:p w:rsidR="005C1185" w:rsidRPr="007A47C8" w:rsidRDefault="005C1185" w:rsidP="005C118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A47C8">
        <w:rPr>
          <w:rFonts w:ascii="Times New Roman" w:hAnsi="Times New Roman"/>
          <w:sz w:val="24"/>
          <w:szCs w:val="24"/>
        </w:rPr>
        <w:t xml:space="preserve">Несколько ниже показатели развития интегративного качества «Эмоционально отзывчивый», «Способный управлять своим поведением и планировать действия Овладевший средствами общения и способами взаимодействия </w:t>
      </w:r>
      <w:proofErr w:type="gramStart"/>
      <w:r w:rsidRPr="007A47C8">
        <w:rPr>
          <w:rFonts w:ascii="Times New Roman" w:hAnsi="Times New Roman"/>
          <w:sz w:val="24"/>
          <w:szCs w:val="24"/>
        </w:rPr>
        <w:t>со</w:t>
      </w:r>
      <w:proofErr w:type="gramEnd"/>
      <w:r w:rsidRPr="007A47C8">
        <w:rPr>
          <w:rFonts w:ascii="Times New Roman" w:hAnsi="Times New Roman"/>
          <w:sz w:val="24"/>
          <w:szCs w:val="24"/>
        </w:rPr>
        <w:t xml:space="preserve"> взрослыми и сверстниками», «Физически развитый, овладевший основными культурно-гигиеническими навыками». Низких показателей по результатам развития интегративного качества на конец года нет.</w:t>
      </w:r>
    </w:p>
    <w:p w:rsidR="005C1185" w:rsidRPr="007A47C8" w:rsidRDefault="005C1185" w:rsidP="005C11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47C8">
        <w:rPr>
          <w:rFonts w:ascii="Times New Roman" w:hAnsi="Times New Roman"/>
          <w:sz w:val="24"/>
          <w:szCs w:val="24"/>
        </w:rPr>
        <w:lastRenderedPageBreak/>
        <w:t>Таким образом, итоги данной диагностики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5C1185" w:rsidRPr="007A47C8" w:rsidRDefault="006162D3" w:rsidP="005C11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  <w:r w:rsidR="005C1185" w:rsidRPr="007A47C8">
        <w:rPr>
          <w:rFonts w:ascii="Times New Roman" w:hAnsi="Times New Roman"/>
          <w:sz w:val="24"/>
          <w:szCs w:val="24"/>
        </w:rPr>
        <w:t>результаты диагностики овладения воспитанниками дошкольного образовательного учреждения программным материалом по образовательным областям и развитию интеграти</w:t>
      </w:r>
      <w:r w:rsidR="00E73408">
        <w:rPr>
          <w:rFonts w:ascii="Times New Roman" w:hAnsi="Times New Roman"/>
          <w:sz w:val="24"/>
          <w:szCs w:val="24"/>
        </w:rPr>
        <w:t xml:space="preserve">вных качеств </w:t>
      </w:r>
      <w:r w:rsidR="005C1185" w:rsidRPr="007A47C8">
        <w:rPr>
          <w:rFonts w:ascii="Times New Roman" w:hAnsi="Times New Roman"/>
          <w:sz w:val="24"/>
          <w:szCs w:val="24"/>
        </w:rPr>
        <w:t xml:space="preserve">являются удовлетворительными. </w:t>
      </w:r>
    </w:p>
    <w:p w:rsidR="005C1185" w:rsidRPr="007A47C8" w:rsidRDefault="005C1185" w:rsidP="005C11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1185" w:rsidRPr="007A47C8" w:rsidRDefault="005C1185" w:rsidP="005C1185">
      <w:pPr>
        <w:tabs>
          <w:tab w:val="left" w:pos="166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C1185" w:rsidRPr="007A47C8" w:rsidRDefault="005C1185" w:rsidP="005C1185">
      <w:pPr>
        <w:tabs>
          <w:tab w:val="left" w:pos="166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4714" w:rsidRPr="007A47C8" w:rsidRDefault="00964714" w:rsidP="005C1185">
      <w:pPr>
        <w:rPr>
          <w:rFonts w:ascii="Times New Roman" w:hAnsi="Times New Roman"/>
          <w:sz w:val="24"/>
          <w:szCs w:val="24"/>
        </w:rPr>
      </w:pPr>
    </w:p>
    <w:sectPr w:rsidR="00964714" w:rsidRPr="007A47C8" w:rsidSect="005C11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567"/>
    <w:multiLevelType w:val="hybridMultilevel"/>
    <w:tmpl w:val="A2761CD6"/>
    <w:lvl w:ilvl="0" w:tplc="A7F86014">
      <w:start w:val="1"/>
      <w:numFmt w:val="bullet"/>
      <w:lvlText w:val="-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209C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74AC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84C4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C7C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C6773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42A4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21B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6E8D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64"/>
    <w:rsid w:val="000C06BA"/>
    <w:rsid w:val="002D5907"/>
    <w:rsid w:val="004E0609"/>
    <w:rsid w:val="005C1185"/>
    <w:rsid w:val="006162D3"/>
    <w:rsid w:val="0066270F"/>
    <w:rsid w:val="007A47C8"/>
    <w:rsid w:val="00964714"/>
    <w:rsid w:val="009F1F64"/>
    <w:rsid w:val="009F62AF"/>
    <w:rsid w:val="00E7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C1185"/>
    <w:rPr>
      <w:sz w:val="26"/>
      <w:szCs w:val="26"/>
      <w:shd w:val="clear" w:color="auto" w:fill="FFFFFF"/>
    </w:rPr>
  </w:style>
  <w:style w:type="character" w:customStyle="1" w:styleId="a3">
    <w:name w:val="Основной текст_"/>
    <w:link w:val="1"/>
    <w:rsid w:val="005C1185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1185"/>
    <w:pPr>
      <w:shd w:val="clear" w:color="auto" w:fill="FFFFFF"/>
      <w:spacing w:before="24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C1185"/>
    <w:pPr>
      <w:shd w:val="clear" w:color="auto" w:fill="FFFFFF"/>
      <w:spacing w:before="360" w:after="0" w:line="302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paragraph" w:styleId="a4">
    <w:name w:val="No Spacing"/>
    <w:uiPriority w:val="1"/>
    <w:qFormat/>
    <w:rsid w:val="005C118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C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1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C1185"/>
    <w:rPr>
      <w:sz w:val="26"/>
      <w:szCs w:val="26"/>
      <w:shd w:val="clear" w:color="auto" w:fill="FFFFFF"/>
    </w:rPr>
  </w:style>
  <w:style w:type="character" w:customStyle="1" w:styleId="a3">
    <w:name w:val="Основной текст_"/>
    <w:link w:val="1"/>
    <w:rsid w:val="005C1185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1185"/>
    <w:pPr>
      <w:shd w:val="clear" w:color="auto" w:fill="FFFFFF"/>
      <w:spacing w:before="24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C1185"/>
    <w:pPr>
      <w:shd w:val="clear" w:color="auto" w:fill="FFFFFF"/>
      <w:spacing w:before="360" w:after="0" w:line="302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paragraph" w:styleId="a4">
    <w:name w:val="No Spacing"/>
    <w:uiPriority w:val="1"/>
    <w:qFormat/>
    <w:rsid w:val="005C118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C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1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0.35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013440"/>
        <c:axId val="131302144"/>
      </c:barChart>
      <c:catAx>
        <c:axId val="11001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302144"/>
        <c:crosses val="autoZero"/>
        <c:auto val="1"/>
        <c:lblAlgn val="ctr"/>
        <c:lblOffset val="100"/>
        <c:noMultiLvlLbl val="0"/>
      </c:catAx>
      <c:valAx>
        <c:axId val="131302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013440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вторая младшая группа</c:v>
                </c:pt>
                <c:pt idx="1">
                  <c:v>1 средняя группа</c:v>
                </c:pt>
                <c:pt idx="2">
                  <c:v>2 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0.13</c:v>
                </c:pt>
                <c:pt idx="2">
                  <c:v>0.14000000000000001</c:v>
                </c:pt>
                <c:pt idx="3">
                  <c:v>0.15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вторая младшая группа</c:v>
                </c:pt>
                <c:pt idx="1">
                  <c:v>1 средняя группа</c:v>
                </c:pt>
                <c:pt idx="2">
                  <c:v>2 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</c:v>
                </c:pt>
                <c:pt idx="1">
                  <c:v>0.09</c:v>
                </c:pt>
                <c:pt idx="2">
                  <c:v>0.08</c:v>
                </c:pt>
                <c:pt idx="3">
                  <c:v>0.08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вторая младшая группа</c:v>
                </c:pt>
                <c:pt idx="1">
                  <c:v>1 средняя группа</c:v>
                </c:pt>
                <c:pt idx="2">
                  <c:v>2 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0.02</c:v>
                </c:pt>
                <c:pt idx="1">
                  <c:v>0.01</c:v>
                </c:pt>
                <c:pt idx="2">
                  <c:v>0.01</c:v>
                </c:pt>
                <c:pt idx="3">
                  <c:v>0.01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1668608"/>
        <c:axId val="131670400"/>
      </c:barChart>
      <c:catAx>
        <c:axId val="13166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8100" cap="flat" cmpd="sng" algn="ctr">
            <a:solidFill>
              <a:schemeClr val="accent6"/>
            </a:solidFill>
            <a:prstDash val="solid"/>
            <a:round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670400"/>
        <c:crosses val="autoZero"/>
        <c:auto val="1"/>
        <c:lblAlgn val="ctr"/>
        <c:lblOffset val="100"/>
        <c:noMultiLvlLbl val="0"/>
      </c:catAx>
      <c:valAx>
        <c:axId val="1316704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3166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accent4"/>
        </a:solidFill>
        <a:ln w="25400" cap="flat" cmpd="sng" algn="ctr">
          <a:solidFill>
            <a:schemeClr val="accent4">
              <a:shade val="50000"/>
            </a:schemeClr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5">
            <a:shade val="51000"/>
            <a:satMod val="130000"/>
          </a:schemeClr>
        </a:gs>
        <a:gs pos="80000">
          <a:schemeClr val="accent5">
            <a:shade val="93000"/>
            <a:satMod val="130000"/>
          </a:schemeClr>
        </a:gs>
        <a:gs pos="100000">
          <a:schemeClr val="accent5">
            <a:shade val="94000"/>
            <a:satMod val="135000"/>
          </a:schemeClr>
        </a:gs>
      </a:gsLst>
      <a:lin ang="16200000" scaled="0"/>
      <a:tileRect/>
    </a:gradFill>
    <a:ln w="9525" cap="flat" cmpd="sng" algn="ctr">
      <a:noFill/>
      <a:round/>
    </a:ln>
    <a:effectLst>
      <a:outerShdw blurRad="40000" dist="23000" dir="5400000" rotWithShape="0">
        <a:srgbClr val="000000">
          <a:alpha val="35000"/>
        </a:srgbClr>
      </a:outerShdw>
    </a:effectLst>
    <a:scene3d>
      <a:camera prst="orthographicFront">
        <a:rot lat="0" lon="0" rev="0"/>
      </a:camera>
      <a:lightRig rig="threePt" dir="t">
        <a:rot lat="0" lon="0" rev="1200000"/>
      </a:lightRig>
    </a:scene3d>
    <a:sp3d>
      <a:bevelT w="63500" h="25400"/>
    </a:sp3d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0.74</c:v>
                </c:pt>
                <c:pt idx="1">
                  <c:v>0.26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54304"/>
        <c:axId val="131155840"/>
      </c:barChart>
      <c:catAx>
        <c:axId val="13115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155840"/>
        <c:crosses val="autoZero"/>
        <c:auto val="1"/>
        <c:lblAlgn val="ctr"/>
        <c:lblOffset val="100"/>
        <c:noMultiLvlLbl val="0"/>
      </c:catAx>
      <c:valAx>
        <c:axId val="13115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154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25400" cap="flat" cmpd="sng" algn="ctr">
      <a:solidFill>
        <a:srgbClr val="4F81BD"/>
      </a:solidFill>
      <a:prstDash val="solid"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вторая младшая группа</c:v>
                </c:pt>
                <c:pt idx="1">
                  <c:v>1 средняя группа</c:v>
                </c:pt>
                <c:pt idx="2">
                  <c:v>2 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0.18</c:v>
                </c:pt>
                <c:pt idx="2">
                  <c:v>0.19</c:v>
                </c:pt>
                <c:pt idx="3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вторая младшая группа</c:v>
                </c:pt>
                <c:pt idx="1">
                  <c:v>1 средняя группа</c:v>
                </c:pt>
                <c:pt idx="2">
                  <c:v>2 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0.05</c:v>
                </c:pt>
                <c:pt idx="1">
                  <c:v>0.06</c:v>
                </c:pt>
                <c:pt idx="2">
                  <c:v>7.0000000000000007E-2</c:v>
                </c:pt>
                <c:pt idx="3">
                  <c:v>0.08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вторая младшая группа</c:v>
                </c:pt>
                <c:pt idx="1">
                  <c:v>1 средняя группа</c:v>
                </c:pt>
                <c:pt idx="2">
                  <c:v>2 средняя группа</c:v>
                </c:pt>
                <c:pt idx="3">
                  <c:v>старшая группа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39448320"/>
        <c:axId val="139449856"/>
      </c:barChart>
      <c:catAx>
        <c:axId val="13944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449856"/>
        <c:crosses val="autoZero"/>
        <c:auto val="1"/>
        <c:lblAlgn val="ctr"/>
        <c:lblOffset val="100"/>
        <c:noMultiLvlLbl val="0"/>
      </c:catAx>
      <c:valAx>
        <c:axId val="13944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44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ysClr val="window" lastClr="FFFFFF"/>
    </a:solidFill>
    <a:ln w="25400" cap="flat" cmpd="sng" algn="ctr">
      <a:solidFill>
        <a:srgbClr val="4F81BD"/>
      </a:solidFill>
      <a:prstDash val="solid"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2019-07-18T04:23:00Z</dcterms:created>
  <dcterms:modified xsi:type="dcterms:W3CDTF">2019-07-18T06:32:00Z</dcterms:modified>
</cp:coreProperties>
</file>